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installazione di cartelli e insegne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dell'autorizzazione per installazione di cartelli e insegne.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 - D.Lgs. 507/1993 - Revisione ed armonizzazione imposta comunale sulla pubblicita' e del diritto sulle pubbliche affissioni - D.Lgs. 42/2004 - Codice dei beni culturali e del paesaggio - Legge regionale - Regolamento Edilizio - Regolamento comunale per l'applicazione dell'imposta comunale sulla pubblicita' e sui diritti delle pubbliche affissioni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6055EB" w:rsidRDefault="00045525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6055EB" w:rsidRDefault="00045525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6055EB" w:rsidRDefault="00045525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6055EB" w:rsidRDefault="0004552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6055EB" w:rsidRDefault="00045525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6055EB" w:rsidRDefault="00045525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6055EB" w:rsidRDefault="00045525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045525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6055EB" w:rsidRDefault="00045525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6055EB" w:rsidRDefault="00045525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6055EB" w:rsidRDefault="00045525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6055EB" w:rsidRDefault="00045525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6055EB" w:rsidRDefault="0004552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6055EB" w:rsidRDefault="00045525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45525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25EE2"/>
    <w:rsid w:val="00045525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055EB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2026-06-14T19:59:00Z</dcterms:modified>
</cp:coreProperties>
</file>